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7A60" w14:textId="04B715F8" w:rsidR="006B7466" w:rsidRPr="005D4092" w:rsidRDefault="00A85A76" w:rsidP="004B3E2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85A76">
        <w:rPr>
          <w:b/>
          <w:bCs/>
          <w:sz w:val="24"/>
          <w:szCs w:val="24"/>
        </w:rPr>
        <w:t>CPL ACQUISISCE IL RAMO D’AZIENDA DEDICATO ALL’ENERGY D</w:t>
      </w:r>
      <w:r w:rsidR="00B21691">
        <w:rPr>
          <w:b/>
          <w:bCs/>
          <w:sz w:val="24"/>
          <w:szCs w:val="24"/>
        </w:rPr>
        <w:t>I</w:t>
      </w:r>
      <w:r w:rsidRPr="00A85A76">
        <w:rPr>
          <w:b/>
          <w:bCs/>
          <w:sz w:val="24"/>
          <w:szCs w:val="24"/>
        </w:rPr>
        <w:t xml:space="preserve"> BLU CRM, STORICA SOFTWARE HOUSE</w:t>
      </w:r>
      <w:r w:rsidR="00593E52">
        <w:rPr>
          <w:b/>
          <w:bCs/>
          <w:sz w:val="24"/>
          <w:szCs w:val="24"/>
        </w:rPr>
        <w:t xml:space="preserve">  MILANESE</w:t>
      </w:r>
      <w:r w:rsidRPr="00A85A76">
        <w:rPr>
          <w:b/>
          <w:bCs/>
          <w:sz w:val="24"/>
          <w:szCs w:val="24"/>
        </w:rPr>
        <w:t xml:space="preserve">CHE OPERA NEL SETTORE ENERGY ED UTILITIES DA OLTRE </w:t>
      </w:r>
      <w:r w:rsidR="00EE7D50">
        <w:rPr>
          <w:b/>
          <w:bCs/>
          <w:sz w:val="24"/>
          <w:szCs w:val="24"/>
        </w:rPr>
        <w:t>25</w:t>
      </w:r>
      <w:r w:rsidRPr="00A85A76">
        <w:rPr>
          <w:b/>
          <w:bCs/>
          <w:sz w:val="24"/>
          <w:szCs w:val="24"/>
        </w:rPr>
        <w:t xml:space="preserve"> ANNI</w:t>
      </w:r>
    </w:p>
    <w:p w14:paraId="00259EA4" w14:textId="77777777" w:rsidR="001D466F" w:rsidRDefault="001D466F" w:rsidP="001D466F">
      <w:pPr>
        <w:spacing w:after="0" w:line="240" w:lineRule="auto"/>
        <w:jc w:val="both"/>
        <w:rPr>
          <w:sz w:val="24"/>
          <w:szCs w:val="24"/>
        </w:rPr>
      </w:pPr>
    </w:p>
    <w:p w14:paraId="3C9D9AC3" w14:textId="77777777" w:rsidR="004B3E2B" w:rsidRDefault="004B3E2B" w:rsidP="001D466F">
      <w:pPr>
        <w:spacing w:after="0" w:line="240" w:lineRule="auto"/>
        <w:jc w:val="both"/>
        <w:rPr>
          <w:sz w:val="24"/>
          <w:szCs w:val="24"/>
        </w:rPr>
      </w:pPr>
    </w:p>
    <w:p w14:paraId="4E71BD29" w14:textId="1D6CDDC7" w:rsidR="00A85A76" w:rsidRPr="00AF0C58" w:rsidRDefault="00A85A76" w:rsidP="001D466F">
      <w:pPr>
        <w:spacing w:after="0" w:line="240" w:lineRule="auto"/>
        <w:jc w:val="both"/>
        <w:rPr>
          <w:sz w:val="24"/>
          <w:szCs w:val="24"/>
        </w:rPr>
      </w:pPr>
      <w:r w:rsidRPr="00AF0C58">
        <w:rPr>
          <w:sz w:val="24"/>
          <w:szCs w:val="24"/>
        </w:rPr>
        <w:t>Concordia, 26 marzo 2024 – CPL C</w:t>
      </w:r>
      <w:r w:rsidR="002C41F7">
        <w:rPr>
          <w:sz w:val="24"/>
          <w:szCs w:val="24"/>
        </w:rPr>
        <w:t>ONCORDIA</w:t>
      </w:r>
      <w:r w:rsidRPr="00AF0C58">
        <w:rPr>
          <w:sz w:val="24"/>
          <w:szCs w:val="24"/>
        </w:rPr>
        <w:t xml:space="preserve">, </w:t>
      </w:r>
      <w:r w:rsidRPr="00AF0C58">
        <w:rPr>
          <w:rFonts w:cstheme="minorHAnsi"/>
          <w:i/>
          <w:iCs/>
          <w:sz w:val="24"/>
          <w:szCs w:val="24"/>
        </w:rPr>
        <w:t xml:space="preserve">Società Cooperativa Italiana, leader nella progettazione, realizzazione e gestione di sistemi energetici, in particolare nella Cogenerazione, Gas Metano, Acqua e nei processi di telecontrollo e billing, </w:t>
      </w:r>
      <w:r w:rsidRPr="00AF0C58">
        <w:rPr>
          <w:sz w:val="24"/>
          <w:szCs w:val="24"/>
        </w:rPr>
        <w:t>comunica di aver acquisito il</w:t>
      </w:r>
      <w:r w:rsidR="00E1516A" w:rsidRPr="00AF0C58">
        <w:rPr>
          <w:sz w:val="24"/>
          <w:szCs w:val="24"/>
        </w:rPr>
        <w:t xml:space="preserve"> ramo Energy di BLU CRM</w:t>
      </w:r>
      <w:r w:rsidR="00593E52">
        <w:rPr>
          <w:sz w:val="24"/>
          <w:szCs w:val="24"/>
        </w:rPr>
        <w:t xml:space="preserve"> che ha sedi operative a Milano ed in provincia di Siena</w:t>
      </w:r>
      <w:r w:rsidRPr="00AF0C58">
        <w:rPr>
          <w:sz w:val="24"/>
          <w:szCs w:val="24"/>
        </w:rPr>
        <w:t>.</w:t>
      </w:r>
    </w:p>
    <w:p w14:paraId="5B25046C" w14:textId="77777777" w:rsidR="00A85A76" w:rsidRDefault="00A85A76" w:rsidP="001D466F">
      <w:pPr>
        <w:spacing w:after="0" w:line="240" w:lineRule="auto"/>
        <w:jc w:val="both"/>
        <w:rPr>
          <w:sz w:val="24"/>
          <w:szCs w:val="24"/>
        </w:rPr>
      </w:pPr>
    </w:p>
    <w:p w14:paraId="369BC71E" w14:textId="6A2F3127" w:rsidR="00E1516A" w:rsidRDefault="00A85A76" w:rsidP="001D46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L’acquisizione prevede</w:t>
      </w:r>
      <w:r w:rsidR="002B3048">
        <w:rPr>
          <w:sz w:val="24"/>
          <w:szCs w:val="24"/>
        </w:rPr>
        <w:t xml:space="preserve"> </w:t>
      </w:r>
      <w:r w:rsidR="002B3048" w:rsidRPr="009E4D84">
        <w:rPr>
          <w:b/>
          <w:bCs/>
          <w:sz w:val="24"/>
          <w:szCs w:val="24"/>
        </w:rPr>
        <w:t>l’</w:t>
      </w:r>
      <w:r w:rsidR="009E4D84">
        <w:rPr>
          <w:b/>
          <w:bCs/>
          <w:sz w:val="24"/>
          <w:szCs w:val="24"/>
        </w:rPr>
        <w:t>accorpamento a CPL</w:t>
      </w:r>
      <w:r w:rsidR="002B3048" w:rsidRPr="009E4D84">
        <w:rPr>
          <w:b/>
          <w:bCs/>
          <w:sz w:val="24"/>
          <w:szCs w:val="24"/>
        </w:rPr>
        <w:t xml:space="preserve"> </w:t>
      </w:r>
      <w:r w:rsidR="002C41F7" w:rsidRPr="002C41F7">
        <w:rPr>
          <w:b/>
          <w:bCs/>
          <w:sz w:val="24"/>
          <w:szCs w:val="24"/>
        </w:rPr>
        <w:t>CONCORDIA</w:t>
      </w:r>
      <w:r w:rsidR="002C41F7" w:rsidRPr="009E4D84">
        <w:rPr>
          <w:b/>
          <w:bCs/>
          <w:sz w:val="24"/>
          <w:szCs w:val="24"/>
        </w:rPr>
        <w:t xml:space="preserve"> </w:t>
      </w:r>
      <w:r w:rsidR="002B3048" w:rsidRPr="009E4D84">
        <w:rPr>
          <w:b/>
          <w:bCs/>
          <w:sz w:val="24"/>
          <w:szCs w:val="24"/>
        </w:rPr>
        <w:t xml:space="preserve">di circa 60 risorse </w:t>
      </w:r>
      <w:r w:rsidR="00A47E6A">
        <w:rPr>
          <w:b/>
          <w:bCs/>
          <w:sz w:val="24"/>
          <w:szCs w:val="24"/>
        </w:rPr>
        <w:t xml:space="preserve">altamente </w:t>
      </w:r>
      <w:r w:rsidR="002B3048" w:rsidRPr="009E4D84">
        <w:rPr>
          <w:b/>
          <w:bCs/>
          <w:sz w:val="24"/>
          <w:szCs w:val="24"/>
        </w:rPr>
        <w:t xml:space="preserve">specializzate nel mondo </w:t>
      </w:r>
      <w:r w:rsidR="009E4D84" w:rsidRPr="009E4D84">
        <w:rPr>
          <w:b/>
          <w:bCs/>
          <w:sz w:val="24"/>
          <w:szCs w:val="24"/>
        </w:rPr>
        <w:t>U</w:t>
      </w:r>
      <w:r w:rsidR="002B3048" w:rsidRPr="009E4D84">
        <w:rPr>
          <w:b/>
          <w:bCs/>
          <w:sz w:val="24"/>
          <w:szCs w:val="24"/>
        </w:rPr>
        <w:t>tilties</w:t>
      </w:r>
      <w:r w:rsidR="009E4D84" w:rsidRPr="009E4D84">
        <w:rPr>
          <w:b/>
          <w:bCs/>
          <w:sz w:val="24"/>
          <w:szCs w:val="24"/>
        </w:rPr>
        <w:t xml:space="preserve"> e di 80 clienti</w:t>
      </w:r>
      <w:r w:rsidR="009E4D84">
        <w:rPr>
          <w:sz w:val="24"/>
          <w:szCs w:val="24"/>
        </w:rPr>
        <w:t xml:space="preserve"> che usufruiscono</w:t>
      </w:r>
      <w:r w:rsidR="002B3048">
        <w:rPr>
          <w:sz w:val="24"/>
          <w:szCs w:val="24"/>
        </w:rPr>
        <w:t xml:space="preserve"> delle principali</w:t>
      </w:r>
      <w:r w:rsidR="00E1516A">
        <w:rPr>
          <w:sz w:val="24"/>
          <w:szCs w:val="24"/>
        </w:rPr>
        <w:t xml:space="preserve"> soluzioni informatiche</w:t>
      </w:r>
      <w:r w:rsidR="00A47E6A">
        <w:rPr>
          <w:sz w:val="24"/>
          <w:szCs w:val="24"/>
        </w:rPr>
        <w:t xml:space="preserve"> di BLU CRM</w:t>
      </w:r>
      <w:r w:rsidR="00E1516A">
        <w:rPr>
          <w:sz w:val="24"/>
          <w:szCs w:val="24"/>
        </w:rPr>
        <w:t xml:space="preserve"> </w:t>
      </w:r>
      <w:r w:rsidR="002B3048">
        <w:rPr>
          <w:sz w:val="24"/>
          <w:szCs w:val="24"/>
        </w:rPr>
        <w:t xml:space="preserve">per le </w:t>
      </w:r>
      <w:r w:rsidR="002B3048" w:rsidRPr="009E4D84">
        <w:rPr>
          <w:b/>
          <w:bCs/>
          <w:sz w:val="24"/>
          <w:szCs w:val="24"/>
        </w:rPr>
        <w:t>aziende di vendita, distribuzione dell’Energia Elettrica, del Gas ed Idrico</w:t>
      </w:r>
      <w:r w:rsidR="002B3048">
        <w:rPr>
          <w:sz w:val="24"/>
          <w:szCs w:val="24"/>
        </w:rPr>
        <w:t xml:space="preserve"> tra cui la </w:t>
      </w:r>
      <w:r w:rsidR="002B3048" w:rsidRPr="009E4D84">
        <w:rPr>
          <w:b/>
          <w:bCs/>
          <w:sz w:val="24"/>
          <w:szCs w:val="24"/>
        </w:rPr>
        <w:t xml:space="preserve">suite per il </w:t>
      </w:r>
      <w:r w:rsidR="00E1516A" w:rsidRPr="009E4D84">
        <w:rPr>
          <w:b/>
          <w:bCs/>
          <w:sz w:val="24"/>
          <w:szCs w:val="24"/>
        </w:rPr>
        <w:t xml:space="preserve"> il Billing</w:t>
      </w:r>
      <w:r w:rsidR="00593E52" w:rsidRPr="00593E52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593E52">
        <w:rPr>
          <w:b/>
          <w:bCs/>
          <w:kern w:val="0"/>
          <w:sz w:val="24"/>
          <w:szCs w:val="24"/>
          <w14:ligatures w14:val="none"/>
        </w:rPr>
        <w:t>B2B e B2C, il CRM</w:t>
      </w:r>
      <w:r w:rsidR="00E1516A" w:rsidRPr="009E4D84">
        <w:rPr>
          <w:b/>
          <w:bCs/>
          <w:sz w:val="24"/>
          <w:szCs w:val="24"/>
        </w:rPr>
        <w:t xml:space="preserve">, le Mobile APP, </w:t>
      </w:r>
      <w:r w:rsidR="002B3048" w:rsidRPr="009E4D84">
        <w:rPr>
          <w:b/>
          <w:bCs/>
          <w:sz w:val="24"/>
          <w:szCs w:val="24"/>
        </w:rPr>
        <w:t xml:space="preserve">la Business </w:t>
      </w:r>
      <w:r w:rsidR="00E1516A" w:rsidRPr="009E4D84">
        <w:rPr>
          <w:b/>
          <w:bCs/>
          <w:sz w:val="24"/>
          <w:szCs w:val="24"/>
        </w:rPr>
        <w:t>I</w:t>
      </w:r>
      <w:r w:rsidR="002B3048" w:rsidRPr="009E4D84">
        <w:rPr>
          <w:b/>
          <w:bCs/>
          <w:sz w:val="24"/>
          <w:szCs w:val="24"/>
        </w:rPr>
        <w:t>ntelligence</w:t>
      </w:r>
      <w:r w:rsidR="00E1516A" w:rsidRPr="009E4D84">
        <w:rPr>
          <w:b/>
          <w:bCs/>
          <w:sz w:val="24"/>
          <w:szCs w:val="24"/>
        </w:rPr>
        <w:t>, il Credit Management</w:t>
      </w:r>
      <w:r w:rsidR="00E1516A">
        <w:rPr>
          <w:sz w:val="24"/>
          <w:szCs w:val="24"/>
        </w:rPr>
        <w:t xml:space="preserve">, </w:t>
      </w:r>
      <w:r w:rsidR="002B3048">
        <w:rPr>
          <w:sz w:val="24"/>
          <w:szCs w:val="24"/>
        </w:rPr>
        <w:t xml:space="preserve">il sistema per </w:t>
      </w:r>
      <w:r w:rsidR="00E1516A">
        <w:rPr>
          <w:sz w:val="24"/>
          <w:szCs w:val="24"/>
        </w:rPr>
        <w:t xml:space="preserve">la </w:t>
      </w:r>
      <w:r w:rsidR="00E1516A" w:rsidRPr="009E4D84">
        <w:rPr>
          <w:b/>
          <w:bCs/>
          <w:sz w:val="24"/>
          <w:szCs w:val="24"/>
        </w:rPr>
        <w:t xml:space="preserve">gestione </w:t>
      </w:r>
      <w:r w:rsidR="002B3048" w:rsidRPr="009E4D84">
        <w:rPr>
          <w:b/>
          <w:bCs/>
          <w:sz w:val="24"/>
          <w:szCs w:val="24"/>
        </w:rPr>
        <w:t xml:space="preserve">completa </w:t>
      </w:r>
      <w:r w:rsidR="00E1516A" w:rsidRPr="009E4D84">
        <w:rPr>
          <w:b/>
          <w:bCs/>
          <w:sz w:val="24"/>
          <w:szCs w:val="24"/>
        </w:rPr>
        <w:t>dell’UTF e dei processi integrati al SII</w:t>
      </w:r>
      <w:r w:rsidR="00E1516A">
        <w:rPr>
          <w:sz w:val="24"/>
          <w:szCs w:val="24"/>
        </w:rPr>
        <w:t xml:space="preserve">, i sistemi </w:t>
      </w:r>
      <w:r w:rsidR="00E1516A" w:rsidRPr="009E4D84">
        <w:rPr>
          <w:b/>
          <w:bCs/>
          <w:sz w:val="24"/>
          <w:szCs w:val="24"/>
        </w:rPr>
        <w:t>WEB per i clienti finali</w:t>
      </w:r>
      <w:r w:rsidR="002B3048" w:rsidRPr="009E4D84">
        <w:rPr>
          <w:b/>
          <w:bCs/>
          <w:sz w:val="24"/>
          <w:szCs w:val="24"/>
        </w:rPr>
        <w:t xml:space="preserve"> e le agenzie</w:t>
      </w:r>
      <w:r w:rsidR="00E1516A">
        <w:rPr>
          <w:sz w:val="24"/>
          <w:szCs w:val="24"/>
        </w:rPr>
        <w:t>,</w:t>
      </w:r>
      <w:r w:rsidR="002B3048">
        <w:rPr>
          <w:sz w:val="24"/>
          <w:szCs w:val="24"/>
        </w:rPr>
        <w:t xml:space="preserve"> i sistemi per </w:t>
      </w:r>
      <w:r w:rsidR="002B3048" w:rsidRPr="009E4D84">
        <w:rPr>
          <w:b/>
          <w:bCs/>
          <w:sz w:val="24"/>
          <w:szCs w:val="24"/>
        </w:rPr>
        <w:t>gli UDD (utenti del dispacciamento), il Work Force Management</w:t>
      </w:r>
      <w:r w:rsidR="002B3048">
        <w:rPr>
          <w:sz w:val="24"/>
          <w:szCs w:val="24"/>
        </w:rPr>
        <w:t xml:space="preserve">, e </w:t>
      </w:r>
      <w:r w:rsidR="00E1516A">
        <w:rPr>
          <w:sz w:val="24"/>
          <w:szCs w:val="24"/>
        </w:rPr>
        <w:t>l’outsourcing</w:t>
      </w:r>
      <w:r w:rsidR="002B3048">
        <w:rPr>
          <w:sz w:val="24"/>
          <w:szCs w:val="24"/>
        </w:rPr>
        <w:t xml:space="preserve"> dei vari servizi.</w:t>
      </w:r>
    </w:p>
    <w:p w14:paraId="4A62A219" w14:textId="77777777" w:rsidR="001D466F" w:rsidRPr="00EA3346" w:rsidRDefault="001D466F" w:rsidP="001D466F">
      <w:pPr>
        <w:spacing w:after="0" w:line="240" w:lineRule="auto"/>
        <w:jc w:val="both"/>
        <w:rPr>
          <w:sz w:val="24"/>
          <w:szCs w:val="24"/>
        </w:rPr>
      </w:pPr>
    </w:p>
    <w:p w14:paraId="06EF985F" w14:textId="7F478663" w:rsidR="00E1516A" w:rsidRDefault="006B7466" w:rsidP="001D466F">
      <w:pPr>
        <w:spacing w:after="0" w:line="240" w:lineRule="auto"/>
        <w:jc w:val="both"/>
        <w:rPr>
          <w:sz w:val="24"/>
          <w:szCs w:val="24"/>
        </w:rPr>
      </w:pPr>
      <w:r w:rsidRPr="00C77C67">
        <w:rPr>
          <w:sz w:val="24"/>
          <w:szCs w:val="24"/>
        </w:rPr>
        <w:t>C</w:t>
      </w:r>
      <w:r w:rsidR="0029598A" w:rsidRPr="00C77C67">
        <w:rPr>
          <w:sz w:val="24"/>
          <w:szCs w:val="24"/>
        </w:rPr>
        <w:t>on q</w:t>
      </w:r>
      <w:r w:rsidR="004E5889" w:rsidRPr="00C77C67">
        <w:rPr>
          <w:sz w:val="24"/>
          <w:szCs w:val="24"/>
        </w:rPr>
        <w:t>uesta operazione strategica</w:t>
      </w:r>
      <w:r w:rsidR="00A85A76" w:rsidRPr="00C77C67">
        <w:rPr>
          <w:sz w:val="24"/>
          <w:szCs w:val="24"/>
        </w:rPr>
        <w:t>,</w:t>
      </w:r>
      <w:r w:rsidR="004E5889" w:rsidRPr="00C77C67">
        <w:rPr>
          <w:sz w:val="24"/>
          <w:szCs w:val="24"/>
        </w:rPr>
        <w:t xml:space="preserve"> </w:t>
      </w:r>
      <w:r w:rsidR="004E5889" w:rsidRPr="007D7E2C">
        <w:rPr>
          <w:b/>
          <w:bCs/>
          <w:sz w:val="24"/>
          <w:szCs w:val="24"/>
        </w:rPr>
        <w:t>CPL</w:t>
      </w:r>
      <w:r w:rsidR="00A85A76" w:rsidRPr="007D7E2C">
        <w:rPr>
          <w:b/>
          <w:bCs/>
          <w:sz w:val="24"/>
          <w:szCs w:val="24"/>
        </w:rPr>
        <w:t xml:space="preserve"> </w:t>
      </w:r>
      <w:r w:rsidR="002C41F7" w:rsidRPr="007D7E2C">
        <w:rPr>
          <w:b/>
          <w:bCs/>
          <w:sz w:val="24"/>
          <w:szCs w:val="24"/>
        </w:rPr>
        <w:t>CONCORDIA</w:t>
      </w:r>
      <w:r w:rsidR="004E5889" w:rsidRPr="007D7E2C">
        <w:rPr>
          <w:b/>
          <w:bCs/>
          <w:sz w:val="24"/>
          <w:szCs w:val="24"/>
        </w:rPr>
        <w:t xml:space="preserve"> rafforza in modo determi</w:t>
      </w:r>
      <w:r w:rsidR="002B3048" w:rsidRPr="007D7E2C">
        <w:rPr>
          <w:b/>
          <w:bCs/>
          <w:sz w:val="24"/>
          <w:szCs w:val="24"/>
        </w:rPr>
        <w:t>nante le quote di mercato</w:t>
      </w:r>
      <w:r w:rsidR="004E5889" w:rsidRPr="007D7E2C">
        <w:rPr>
          <w:b/>
          <w:bCs/>
          <w:sz w:val="24"/>
          <w:szCs w:val="24"/>
        </w:rPr>
        <w:t xml:space="preserve"> </w:t>
      </w:r>
      <w:r w:rsidR="002B3048" w:rsidRPr="007D7E2C">
        <w:rPr>
          <w:b/>
          <w:bCs/>
          <w:sz w:val="24"/>
          <w:szCs w:val="24"/>
        </w:rPr>
        <w:t xml:space="preserve">e </w:t>
      </w:r>
      <w:r w:rsidR="004E5889" w:rsidRPr="007D7E2C">
        <w:rPr>
          <w:b/>
          <w:bCs/>
          <w:sz w:val="24"/>
          <w:szCs w:val="24"/>
        </w:rPr>
        <w:t xml:space="preserve">la sua presenza sul </w:t>
      </w:r>
      <w:r w:rsidR="004B3E2B" w:rsidRPr="007D7E2C">
        <w:rPr>
          <w:b/>
          <w:bCs/>
          <w:sz w:val="24"/>
          <w:szCs w:val="24"/>
        </w:rPr>
        <w:t>settore</w:t>
      </w:r>
      <w:r w:rsidR="004E5889" w:rsidRPr="007D7E2C">
        <w:rPr>
          <w:b/>
          <w:bCs/>
          <w:sz w:val="24"/>
          <w:szCs w:val="24"/>
        </w:rPr>
        <w:t xml:space="preserve"> delle Utilities</w:t>
      </w:r>
      <w:r w:rsidR="00352A09" w:rsidRPr="00C77C67">
        <w:rPr>
          <w:sz w:val="24"/>
          <w:szCs w:val="24"/>
        </w:rPr>
        <w:t>, in tutta filiera,</w:t>
      </w:r>
      <w:r w:rsidR="006A20B9" w:rsidRPr="006A20B9">
        <w:rPr>
          <w:sz w:val="24"/>
          <w:szCs w:val="24"/>
        </w:rPr>
        <w:t xml:space="preserve"> </w:t>
      </w:r>
      <w:r w:rsidR="006A20B9" w:rsidRPr="007D7E2C">
        <w:rPr>
          <w:b/>
          <w:bCs/>
          <w:sz w:val="24"/>
          <w:szCs w:val="24"/>
        </w:rPr>
        <w:t>posizionandosi tra i primissimi players di servizi informatici per i Venditori e Distributori di Power, Gas ed Idrico con oltre 200 clienti</w:t>
      </w:r>
      <w:r w:rsidR="006A20B9" w:rsidRPr="00C77C67">
        <w:rPr>
          <w:sz w:val="24"/>
          <w:szCs w:val="24"/>
        </w:rPr>
        <w:t xml:space="preserve"> ed una prospettiva di crescita importante e costante negli anni a venire</w:t>
      </w:r>
      <w:r w:rsidR="002B3048" w:rsidRPr="00C77C67">
        <w:rPr>
          <w:sz w:val="24"/>
          <w:szCs w:val="24"/>
        </w:rPr>
        <w:t xml:space="preserve"> </w:t>
      </w:r>
      <w:r w:rsidR="006A20B9">
        <w:rPr>
          <w:sz w:val="24"/>
          <w:szCs w:val="24"/>
        </w:rPr>
        <w:t xml:space="preserve">aumentando la forza di sviluppo ed assistenza sulle soluzioni informatiche di Billing, CRM, Compliance regolatoria e BPO. </w:t>
      </w:r>
    </w:p>
    <w:p w14:paraId="06489D23" w14:textId="77777777" w:rsidR="001D466F" w:rsidRDefault="001D466F" w:rsidP="001D466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976DE56" w14:textId="031B79EE" w:rsidR="008B6270" w:rsidRPr="00C77C67" w:rsidRDefault="008B6270" w:rsidP="00F37FB4">
      <w:pPr>
        <w:spacing w:after="0" w:line="240" w:lineRule="auto"/>
        <w:jc w:val="both"/>
        <w:rPr>
          <w:sz w:val="24"/>
          <w:szCs w:val="24"/>
        </w:rPr>
      </w:pPr>
      <w:r w:rsidRPr="00C77C67">
        <w:rPr>
          <w:sz w:val="24"/>
          <w:szCs w:val="24"/>
        </w:rPr>
        <w:t>Oggi l’organico del gruppo CPL è di circa 1</w:t>
      </w:r>
      <w:r w:rsidR="004B3E2B" w:rsidRPr="00C77C67">
        <w:rPr>
          <w:sz w:val="24"/>
          <w:szCs w:val="24"/>
        </w:rPr>
        <w:t>.</w:t>
      </w:r>
      <w:r w:rsidRPr="00C77C67">
        <w:rPr>
          <w:sz w:val="24"/>
          <w:szCs w:val="24"/>
        </w:rPr>
        <w:t xml:space="preserve">800 persone e grazie all’incorporazione del ramo energy di BLU CRM </w:t>
      </w:r>
      <w:r w:rsidRPr="007D7E2C">
        <w:rPr>
          <w:b/>
          <w:bCs/>
          <w:sz w:val="24"/>
          <w:szCs w:val="24"/>
        </w:rPr>
        <w:t>può vantare circa 300 risorse (grazie anche ad alcune partnership verticali</w:t>
      </w:r>
      <w:r w:rsidRPr="00854F5F">
        <w:rPr>
          <w:sz w:val="24"/>
          <w:szCs w:val="24"/>
        </w:rPr>
        <w:t>) impiegate nei servizi per le Utilities</w:t>
      </w:r>
      <w:r w:rsidRPr="00C77C67">
        <w:rPr>
          <w:sz w:val="24"/>
          <w:szCs w:val="24"/>
        </w:rPr>
        <w:t xml:space="preserve"> con i fondamentali necessari per garantire affidabilità</w:t>
      </w:r>
      <w:r w:rsidR="00D50E17">
        <w:rPr>
          <w:sz w:val="24"/>
          <w:szCs w:val="24"/>
        </w:rPr>
        <w:t xml:space="preserve"> informatica</w:t>
      </w:r>
      <w:r w:rsidRPr="00C77C67">
        <w:rPr>
          <w:sz w:val="24"/>
          <w:szCs w:val="24"/>
        </w:rPr>
        <w:t xml:space="preserve"> </w:t>
      </w:r>
      <w:r w:rsidR="00D50E17">
        <w:rPr>
          <w:sz w:val="24"/>
          <w:szCs w:val="24"/>
        </w:rPr>
        <w:t>ai</w:t>
      </w:r>
      <w:r w:rsidR="00854F5F">
        <w:rPr>
          <w:sz w:val="24"/>
          <w:szCs w:val="24"/>
        </w:rPr>
        <w:t xml:space="preserve"> propri clienti utilizzando </w:t>
      </w:r>
      <w:r w:rsidR="00D50E17">
        <w:rPr>
          <w:sz w:val="24"/>
          <w:szCs w:val="24"/>
        </w:rPr>
        <w:t xml:space="preserve">anche </w:t>
      </w:r>
      <w:r w:rsidR="00854F5F">
        <w:rPr>
          <w:sz w:val="24"/>
          <w:szCs w:val="24"/>
        </w:rPr>
        <w:t>soluzioni innovative come l’AI ed il Cloud.</w:t>
      </w:r>
    </w:p>
    <w:p w14:paraId="226EE6EC" w14:textId="77777777" w:rsidR="008B6270" w:rsidRDefault="008B6270" w:rsidP="008B6270">
      <w:pPr>
        <w:spacing w:after="0" w:line="240" w:lineRule="auto"/>
        <w:rPr>
          <w:sz w:val="24"/>
          <w:szCs w:val="24"/>
        </w:rPr>
      </w:pPr>
    </w:p>
    <w:p w14:paraId="5257AADC" w14:textId="50213E7B" w:rsidR="008574EE" w:rsidRPr="00C77C67" w:rsidRDefault="008574EE" w:rsidP="0059254E">
      <w:pPr>
        <w:spacing w:after="0" w:line="240" w:lineRule="auto"/>
        <w:jc w:val="both"/>
        <w:rPr>
          <w:sz w:val="24"/>
          <w:szCs w:val="24"/>
        </w:rPr>
      </w:pPr>
      <w:r w:rsidRPr="00C77C67">
        <w:rPr>
          <w:sz w:val="24"/>
          <w:szCs w:val="24"/>
        </w:rPr>
        <w:t>L’acquisizione del ramo Energy di BLU CRM fa parte di una strategia di sviluppo prevista puntualmente nel Piano Industriale recentemente approvato dal C</w:t>
      </w:r>
      <w:r w:rsidR="00761B8B">
        <w:rPr>
          <w:sz w:val="24"/>
          <w:szCs w:val="24"/>
        </w:rPr>
        <w:t>onsiglio di Amministrazione</w:t>
      </w:r>
      <w:r w:rsidRPr="00C77C67">
        <w:rPr>
          <w:sz w:val="24"/>
          <w:szCs w:val="24"/>
        </w:rPr>
        <w:t xml:space="preserve"> di CPL </w:t>
      </w:r>
      <w:r w:rsidR="002C41F7" w:rsidRPr="00C77C67">
        <w:rPr>
          <w:sz w:val="24"/>
          <w:szCs w:val="24"/>
        </w:rPr>
        <w:t xml:space="preserve">CONCORDIA </w:t>
      </w:r>
      <w:r w:rsidRPr="00C77C67">
        <w:rPr>
          <w:sz w:val="24"/>
          <w:szCs w:val="24"/>
        </w:rPr>
        <w:t xml:space="preserve">che punta ad arrivare al 2030 a 500 ML€ annui di ricavi con 150ML€ di investimenti nel </w:t>
      </w:r>
      <w:r w:rsidR="006A20B9">
        <w:rPr>
          <w:sz w:val="24"/>
          <w:szCs w:val="24"/>
        </w:rPr>
        <w:t>in arco piano.</w:t>
      </w:r>
    </w:p>
    <w:p w14:paraId="1A19C6B0" w14:textId="77777777" w:rsidR="001D466F" w:rsidRDefault="001D466F" w:rsidP="001D466F">
      <w:pPr>
        <w:spacing w:after="0" w:line="240" w:lineRule="auto"/>
        <w:jc w:val="both"/>
        <w:rPr>
          <w:sz w:val="24"/>
          <w:szCs w:val="24"/>
        </w:rPr>
      </w:pPr>
    </w:p>
    <w:p w14:paraId="16CF65B2" w14:textId="42EDEAE0" w:rsidR="00A85A76" w:rsidRDefault="002F6B42" w:rsidP="00EC50B2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Samuele Penzo</w:t>
      </w:r>
      <w:r w:rsidR="00A85A76" w:rsidRPr="005D4092">
        <w:rPr>
          <w:sz w:val="24"/>
          <w:szCs w:val="24"/>
        </w:rPr>
        <w:t xml:space="preserve">, </w:t>
      </w:r>
      <w:r>
        <w:rPr>
          <w:sz w:val="24"/>
          <w:szCs w:val="24"/>
        </w:rPr>
        <w:t>Vice</w:t>
      </w:r>
      <w:r w:rsidR="00A85A76" w:rsidRPr="005D4092">
        <w:rPr>
          <w:sz w:val="24"/>
          <w:szCs w:val="24"/>
        </w:rPr>
        <w:t>Presidente di CPL CONCORDIA,</w:t>
      </w:r>
      <w:r w:rsidR="002C41F7">
        <w:rPr>
          <w:sz w:val="24"/>
          <w:szCs w:val="24"/>
        </w:rPr>
        <w:t xml:space="preserve"> </w:t>
      </w:r>
      <w:r w:rsidR="00A85A76" w:rsidRPr="005D4092">
        <w:rPr>
          <w:sz w:val="24"/>
          <w:szCs w:val="24"/>
        </w:rPr>
        <w:t xml:space="preserve">commenta: </w:t>
      </w:r>
      <w:r w:rsidR="00A85A76">
        <w:rPr>
          <w:sz w:val="24"/>
          <w:szCs w:val="24"/>
        </w:rPr>
        <w:t>“</w:t>
      </w:r>
      <w:r w:rsidR="005A29E7" w:rsidRPr="005D4092">
        <w:rPr>
          <w:i/>
          <w:iCs/>
          <w:sz w:val="24"/>
          <w:szCs w:val="24"/>
        </w:rPr>
        <w:t>Operiamo in un mercato ad alto valore aggiunto, dove gli ingenti investimenti che stiamo pianificando puntano a dare servizi efficienti ed efficaci ad aziende che devono competere utilizzando le migliori tecnologie con la consapevolezza che servizi e soluzioni ICT di qualità devono avere come base le migliori expertise che nascono dalla formazione continua del personale che è il nostro valore assoluto sul quale da sempre punta la Cooperativa di Produzione e Lavoro.</w:t>
      </w:r>
      <w:r w:rsidR="00A85A76">
        <w:rPr>
          <w:i/>
          <w:iCs/>
          <w:sz w:val="24"/>
          <w:szCs w:val="24"/>
        </w:rPr>
        <w:t xml:space="preserve"> </w:t>
      </w:r>
      <w:r w:rsidR="00A85A76" w:rsidRPr="005D4092">
        <w:rPr>
          <w:i/>
          <w:iCs/>
          <w:sz w:val="24"/>
          <w:szCs w:val="24"/>
        </w:rPr>
        <w:t>Ringrazio tutti i professionisti</w:t>
      </w:r>
      <w:r w:rsidR="00A85A76" w:rsidRPr="005D4092">
        <w:rPr>
          <w:b/>
          <w:bCs/>
          <w:i/>
          <w:iCs/>
          <w:sz w:val="24"/>
          <w:szCs w:val="24"/>
        </w:rPr>
        <w:t xml:space="preserve"> </w:t>
      </w:r>
      <w:r w:rsidR="00A85A76" w:rsidRPr="005D4092">
        <w:rPr>
          <w:i/>
          <w:iCs/>
          <w:sz w:val="24"/>
          <w:szCs w:val="24"/>
        </w:rPr>
        <w:t>che hanno collaborato a questa operazione rendendola realizzabile in pochi mesi con estrema serietà, competenza e spirito imprenditoriale per mettere le basi per uno sviluppo della catena del valore tra esperti del mercato, partner e clienti</w:t>
      </w:r>
      <w:r w:rsidR="00A85A76">
        <w:rPr>
          <w:i/>
          <w:iCs/>
          <w:sz w:val="24"/>
          <w:szCs w:val="24"/>
        </w:rPr>
        <w:t>”</w:t>
      </w:r>
      <w:r w:rsidR="00A85A76" w:rsidRPr="00761B8B">
        <w:rPr>
          <w:sz w:val="24"/>
          <w:szCs w:val="24"/>
        </w:rPr>
        <w:t>.</w:t>
      </w:r>
      <w:r w:rsidR="00EC50B2">
        <w:rPr>
          <w:b/>
          <w:bCs/>
          <w:i/>
          <w:iCs/>
          <w:sz w:val="24"/>
          <w:szCs w:val="24"/>
        </w:rPr>
        <w:t xml:space="preserve"> </w:t>
      </w:r>
    </w:p>
    <w:p w14:paraId="5AA44964" w14:textId="77777777" w:rsidR="00EC50B2" w:rsidRPr="00EA3346" w:rsidRDefault="00EC50B2" w:rsidP="00EC50B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783E5B73" w14:textId="77777777" w:rsidR="00CB7FEC" w:rsidRPr="00761B8B" w:rsidRDefault="00CB7FEC" w:rsidP="00CB7FEC">
      <w:pPr>
        <w:spacing w:after="0" w:line="240" w:lineRule="auto"/>
        <w:rPr>
          <w:sz w:val="24"/>
          <w:szCs w:val="24"/>
        </w:rPr>
      </w:pPr>
      <w:bookmarkStart w:id="0" w:name="_Hlk162016937"/>
    </w:p>
    <w:bookmarkEnd w:id="0"/>
    <w:p w14:paraId="22D521CE" w14:textId="77777777" w:rsidR="001D466F" w:rsidRPr="00761B8B" w:rsidRDefault="001D466F" w:rsidP="00EC50B2">
      <w:pPr>
        <w:spacing w:after="0" w:line="240" w:lineRule="auto"/>
        <w:jc w:val="both"/>
        <w:rPr>
          <w:sz w:val="24"/>
          <w:szCs w:val="24"/>
        </w:rPr>
      </w:pPr>
    </w:p>
    <w:p w14:paraId="7EA4A7D1" w14:textId="00CB01AD" w:rsidR="00EE47B1" w:rsidRPr="00761B8B" w:rsidRDefault="00A47E6A" w:rsidP="00EC50B2">
      <w:pPr>
        <w:spacing w:after="0" w:line="240" w:lineRule="auto"/>
        <w:jc w:val="both"/>
        <w:rPr>
          <w:sz w:val="24"/>
          <w:szCs w:val="24"/>
        </w:rPr>
      </w:pPr>
      <w:r w:rsidRPr="00761B8B">
        <w:rPr>
          <w:sz w:val="24"/>
          <w:szCs w:val="24"/>
        </w:rPr>
        <w:t xml:space="preserve">Il </w:t>
      </w:r>
      <w:r w:rsidR="00EA3346" w:rsidRPr="00761B8B">
        <w:rPr>
          <w:sz w:val="24"/>
          <w:szCs w:val="24"/>
        </w:rPr>
        <w:t>23 di Aprile prossimo</w:t>
      </w:r>
      <w:r w:rsidR="00EE47B1" w:rsidRPr="00761B8B">
        <w:rPr>
          <w:sz w:val="24"/>
          <w:szCs w:val="24"/>
        </w:rPr>
        <w:t xml:space="preserve"> celebr</w:t>
      </w:r>
      <w:r w:rsidR="00EA3346" w:rsidRPr="00761B8B">
        <w:rPr>
          <w:sz w:val="24"/>
          <w:szCs w:val="24"/>
        </w:rPr>
        <w:t>erà</w:t>
      </w:r>
      <w:r w:rsidR="00EE47B1" w:rsidRPr="00761B8B">
        <w:rPr>
          <w:sz w:val="24"/>
          <w:szCs w:val="24"/>
        </w:rPr>
        <w:t xml:space="preserve"> i suoi 125 anni</w:t>
      </w:r>
      <w:r w:rsidR="00EA3346" w:rsidRPr="00761B8B">
        <w:rPr>
          <w:sz w:val="24"/>
          <w:szCs w:val="24"/>
        </w:rPr>
        <w:t xml:space="preserve"> di storia</w:t>
      </w:r>
      <w:r w:rsidR="00EE47B1" w:rsidRPr="00761B8B">
        <w:rPr>
          <w:sz w:val="24"/>
          <w:szCs w:val="24"/>
        </w:rPr>
        <w:t>,</w:t>
      </w:r>
      <w:r w:rsidR="005655E2" w:rsidRPr="00761B8B">
        <w:rPr>
          <w:sz w:val="24"/>
          <w:szCs w:val="24"/>
        </w:rPr>
        <w:t xml:space="preserve"> sviluppa molteplici business in</w:t>
      </w:r>
      <w:r w:rsidR="00EE47B1" w:rsidRPr="00761B8B">
        <w:rPr>
          <w:sz w:val="24"/>
          <w:szCs w:val="24"/>
        </w:rPr>
        <w:t xml:space="preserve"> tutta la filiera energetica, </w:t>
      </w:r>
      <w:r w:rsidR="00CA018A" w:rsidRPr="00761B8B">
        <w:rPr>
          <w:sz w:val="24"/>
          <w:szCs w:val="24"/>
        </w:rPr>
        <w:t xml:space="preserve">spingendo sempre di più sulle green </w:t>
      </w:r>
      <w:r w:rsidR="00783C50" w:rsidRPr="00761B8B">
        <w:rPr>
          <w:sz w:val="24"/>
          <w:szCs w:val="24"/>
        </w:rPr>
        <w:t>Technologies</w:t>
      </w:r>
      <w:r w:rsidR="00CA018A" w:rsidRPr="00761B8B">
        <w:rPr>
          <w:sz w:val="24"/>
          <w:szCs w:val="24"/>
        </w:rPr>
        <w:t xml:space="preserve"> che vedono protagoniste le energie rinnovabili attraverso la progettazione/costruzione e gestione di impianti ad Idrogeno, a Biometano e Fotovoltaico oltre ai servizi consolidati ed oggi core di CPL </w:t>
      </w:r>
      <w:r w:rsidR="00107C8E" w:rsidRPr="00761B8B">
        <w:rPr>
          <w:sz w:val="24"/>
          <w:szCs w:val="24"/>
        </w:rPr>
        <w:t xml:space="preserve">CONCORDIA </w:t>
      </w:r>
      <w:r w:rsidR="00EE47B1" w:rsidRPr="00761B8B">
        <w:rPr>
          <w:sz w:val="24"/>
          <w:szCs w:val="24"/>
        </w:rPr>
        <w:t>tra cui il global service per la gestione energetica, i servizi per la rete di distribuzione del gas, alla costruzione di impianti di GNL, alla cogenerazione, alla pubblica illuminazione e gestione e telecontrollo degli impianti idrici</w:t>
      </w:r>
      <w:r w:rsidR="00CA018A" w:rsidRPr="00761B8B">
        <w:rPr>
          <w:sz w:val="24"/>
          <w:szCs w:val="24"/>
        </w:rPr>
        <w:t>.</w:t>
      </w:r>
    </w:p>
    <w:p w14:paraId="6209E6B0" w14:textId="77777777" w:rsidR="008574EE" w:rsidRPr="00A23EA1" w:rsidRDefault="008574EE" w:rsidP="008574EE">
      <w:pPr>
        <w:spacing w:after="0" w:line="240" w:lineRule="auto"/>
        <w:rPr>
          <w:sz w:val="24"/>
          <w:szCs w:val="24"/>
        </w:rPr>
      </w:pPr>
    </w:p>
    <w:p w14:paraId="30E3CBF9" w14:textId="2B8186A7" w:rsidR="008574EE" w:rsidRPr="00A23EA1" w:rsidRDefault="008574EE" w:rsidP="00A23EA1">
      <w:pPr>
        <w:spacing w:after="0" w:line="240" w:lineRule="auto"/>
        <w:jc w:val="both"/>
        <w:rPr>
          <w:sz w:val="24"/>
          <w:szCs w:val="24"/>
        </w:rPr>
      </w:pPr>
      <w:r w:rsidRPr="00A23EA1">
        <w:rPr>
          <w:sz w:val="24"/>
          <w:szCs w:val="24"/>
        </w:rPr>
        <w:t xml:space="preserve">L’operazione si è potuta concludere grazie allo sforzo profuso da tutti i professionisti che hanno collaborato in questi mesi con estrema serietà, competenza e spirito imprenditoriale, o meglio </w:t>
      </w:r>
      <w:r w:rsidRPr="00A23EA1">
        <w:rPr>
          <w:b/>
          <w:bCs/>
          <w:sz w:val="24"/>
          <w:szCs w:val="24"/>
        </w:rPr>
        <w:t>per CPL</w:t>
      </w:r>
      <w:r w:rsidRPr="00A23EA1">
        <w:rPr>
          <w:sz w:val="24"/>
          <w:szCs w:val="24"/>
        </w:rPr>
        <w:t xml:space="preserve"> gli advisor </w:t>
      </w:r>
      <w:r w:rsidR="00034CC7" w:rsidRPr="00034CC7">
        <w:rPr>
          <w:sz w:val="24"/>
          <w:szCs w:val="24"/>
        </w:rPr>
        <w:t>Audirevi Transaction &amp; Advisory S.r.l.</w:t>
      </w:r>
      <w:r w:rsidR="00034CC7">
        <w:rPr>
          <w:sz w:val="24"/>
          <w:szCs w:val="24"/>
        </w:rPr>
        <w:t xml:space="preserve"> </w:t>
      </w:r>
      <w:r w:rsidR="006A20B9">
        <w:rPr>
          <w:sz w:val="24"/>
          <w:szCs w:val="24"/>
        </w:rPr>
        <w:t xml:space="preserve">con il </w:t>
      </w:r>
      <w:r w:rsidRPr="00A23EA1">
        <w:rPr>
          <w:sz w:val="24"/>
          <w:szCs w:val="24"/>
        </w:rPr>
        <w:t xml:space="preserve">partner </w:t>
      </w:r>
      <w:r w:rsidR="006A20B9">
        <w:rPr>
          <w:sz w:val="24"/>
          <w:szCs w:val="24"/>
        </w:rPr>
        <w:t xml:space="preserve">D.ssa </w:t>
      </w:r>
      <w:r w:rsidRPr="00A23EA1">
        <w:rPr>
          <w:rStyle w:val="Enfasigrassetto"/>
        </w:rPr>
        <w:t>An</w:t>
      </w:r>
      <w:r w:rsidRPr="00A23EA1">
        <w:rPr>
          <w:b/>
          <w:bCs/>
          <w:sz w:val="24"/>
          <w:szCs w:val="24"/>
        </w:rPr>
        <w:t xml:space="preserve">nalisa Vitali, </w:t>
      </w:r>
      <w:r w:rsidR="00034CC7" w:rsidRPr="00034CC7">
        <w:rPr>
          <w:b/>
          <w:bCs/>
          <w:sz w:val="24"/>
          <w:szCs w:val="24"/>
        </w:rPr>
        <w:t>Studio Pirola Pennuto Zei</w:t>
      </w:r>
      <w:r w:rsidR="00034CC7">
        <w:rPr>
          <w:sz w:val="24"/>
          <w:szCs w:val="24"/>
        </w:rPr>
        <w:t xml:space="preserve"> </w:t>
      </w:r>
      <w:r w:rsidR="006A20B9">
        <w:rPr>
          <w:sz w:val="24"/>
          <w:szCs w:val="24"/>
        </w:rPr>
        <w:t>con</w:t>
      </w:r>
      <w:r w:rsidRPr="00A23EA1">
        <w:rPr>
          <w:sz w:val="24"/>
          <w:szCs w:val="24"/>
        </w:rPr>
        <w:t xml:space="preserve"> il Dott. Giuseppe Tarantino, EY Spa</w:t>
      </w:r>
      <w:r w:rsidR="006A20B9">
        <w:rPr>
          <w:sz w:val="24"/>
          <w:szCs w:val="24"/>
        </w:rPr>
        <w:t xml:space="preserve"> con </w:t>
      </w:r>
      <w:r w:rsidRPr="00A23EA1">
        <w:rPr>
          <w:sz w:val="24"/>
          <w:szCs w:val="24"/>
        </w:rPr>
        <w:t xml:space="preserve"> il Dott. Benzi; per la parte legale ha operato il team interno, alla guida della D</w:t>
      </w:r>
      <w:r w:rsidR="00034CC7">
        <w:rPr>
          <w:sz w:val="24"/>
          <w:szCs w:val="24"/>
        </w:rPr>
        <w:t>r</w:t>
      </w:r>
      <w:r w:rsidRPr="00A23EA1">
        <w:rPr>
          <w:sz w:val="24"/>
          <w:szCs w:val="24"/>
        </w:rPr>
        <w:t xml:space="preserve">.ssa Elena Galeotti; </w:t>
      </w:r>
      <w:r w:rsidRPr="00A23EA1">
        <w:rPr>
          <w:b/>
          <w:bCs/>
          <w:sz w:val="24"/>
          <w:szCs w:val="24"/>
        </w:rPr>
        <w:t>per Blu Crm</w:t>
      </w:r>
      <w:r w:rsidRPr="00A23EA1">
        <w:rPr>
          <w:sz w:val="24"/>
          <w:szCs w:val="24"/>
        </w:rPr>
        <w:t xml:space="preserve">, lo studio </w:t>
      </w:r>
      <w:r w:rsidR="00593E52">
        <w:rPr>
          <w:sz w:val="24"/>
          <w:szCs w:val="24"/>
        </w:rPr>
        <w:t xml:space="preserve">Mario </w:t>
      </w:r>
      <w:r w:rsidRPr="00A23EA1">
        <w:rPr>
          <w:sz w:val="24"/>
          <w:szCs w:val="24"/>
        </w:rPr>
        <w:t xml:space="preserve">Medici, </w:t>
      </w:r>
      <w:r w:rsidR="00593E52">
        <w:rPr>
          <w:sz w:val="24"/>
          <w:szCs w:val="24"/>
        </w:rPr>
        <w:t xml:space="preserve"> il Dott.Paolo</w:t>
      </w:r>
      <w:r w:rsidRPr="00A23EA1">
        <w:rPr>
          <w:sz w:val="24"/>
          <w:szCs w:val="24"/>
        </w:rPr>
        <w:t xml:space="preserve"> Terzi ed Associati, e per l’assistenza legale lo Studio Latham &amp; Watkins con il Partner Giancarlo D’Ambrosio, l’Associate Federica Ventura e Federico Privitera</w:t>
      </w:r>
    </w:p>
    <w:p w14:paraId="2E14E7B9" w14:textId="77777777" w:rsidR="008574EE" w:rsidRPr="00EA3346" w:rsidRDefault="008574EE" w:rsidP="008574EE">
      <w:pPr>
        <w:rPr>
          <w:sz w:val="24"/>
          <w:szCs w:val="24"/>
        </w:rPr>
      </w:pPr>
    </w:p>
    <w:p w14:paraId="730A7CFF" w14:textId="77777777" w:rsidR="008574EE" w:rsidRDefault="008574EE" w:rsidP="008574EE"/>
    <w:p w14:paraId="622FE7B6" w14:textId="77777777" w:rsidR="004E5889" w:rsidRDefault="004E5889" w:rsidP="00EC50B2">
      <w:pPr>
        <w:spacing w:after="0" w:line="240" w:lineRule="auto"/>
        <w:jc w:val="both"/>
      </w:pPr>
    </w:p>
    <w:sectPr w:rsidR="004E5889" w:rsidSect="00590B4A">
      <w:headerReference w:type="default" r:id="rId6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9DA4" w14:textId="77777777" w:rsidR="00590B4A" w:rsidRDefault="00590B4A" w:rsidP="004B3E2B">
      <w:pPr>
        <w:spacing w:after="0" w:line="240" w:lineRule="auto"/>
      </w:pPr>
      <w:r>
        <w:separator/>
      </w:r>
    </w:p>
  </w:endnote>
  <w:endnote w:type="continuationSeparator" w:id="0">
    <w:p w14:paraId="48CB11A2" w14:textId="77777777" w:rsidR="00590B4A" w:rsidRDefault="00590B4A" w:rsidP="004B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B347" w14:textId="77777777" w:rsidR="00590B4A" w:rsidRDefault="00590B4A" w:rsidP="004B3E2B">
      <w:pPr>
        <w:spacing w:after="0" w:line="240" w:lineRule="auto"/>
      </w:pPr>
      <w:r>
        <w:separator/>
      </w:r>
    </w:p>
  </w:footnote>
  <w:footnote w:type="continuationSeparator" w:id="0">
    <w:p w14:paraId="26E70FA1" w14:textId="77777777" w:rsidR="00590B4A" w:rsidRDefault="00590B4A" w:rsidP="004B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1450" w14:textId="77777777" w:rsidR="004B3E2B" w:rsidRDefault="004B3E2B" w:rsidP="004B3E2B">
    <w:pPr>
      <w:pStyle w:val="Intestazione"/>
      <w:rPr>
        <w:rFonts w:ascii="Tahoma" w:hAnsi="Tahoma"/>
        <w:b/>
      </w:rPr>
    </w:pPr>
    <w:r w:rsidRPr="004C3A88">
      <w:rPr>
        <w:rFonts w:ascii="Tahoma" w:hAnsi="Tahoma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8F10D9" wp14:editId="578636B0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2360930" cy="731520"/>
              <wp:effectExtent l="0" t="0" r="952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3777" w14:textId="77777777" w:rsidR="004B3E2B" w:rsidRDefault="004B3E2B" w:rsidP="004B3E2B">
                          <w:pPr>
                            <w:jc w:val="right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</w:rPr>
                            <w:t xml:space="preserve">COMUNICATO </w:t>
                          </w:r>
                          <w:r w:rsidRPr="009C0B23">
                            <w:rPr>
                              <w:rFonts w:ascii="Tahoma" w:hAnsi="Tahoma"/>
                              <w:b/>
                            </w:rPr>
                            <w:t>STAMPA</w:t>
                          </w:r>
                        </w:p>
                        <w:p w14:paraId="7F207C6F" w14:textId="619E9566" w:rsidR="004B3E2B" w:rsidRDefault="004B3E2B" w:rsidP="004B3E2B">
                          <w:pPr>
                            <w:jc w:val="right"/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26/</w:t>
                          </w:r>
                          <w:r w:rsidRPr="002D3BDF">
                            <w:rPr>
                              <w:rFonts w:ascii="Tahoma" w:hAnsi="Tahoma" w:cs="Tahoma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3</w:t>
                          </w:r>
                          <w:r w:rsidRPr="002D3BDF">
                            <w:rPr>
                              <w:rFonts w:ascii="Tahoma" w:hAnsi="Tahoma" w:cs="Tahoma"/>
                              <w:b/>
                              <w:bCs/>
                            </w:rPr>
                            <w:t>/202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F10D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4.7pt;margin-top:-3pt;width:185.9pt;height:57.6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elDQ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" stroked="f">
              <v:textbox>
                <w:txbxContent>
                  <w:p w14:paraId="06943777" w14:textId="77777777" w:rsidR="004B3E2B" w:rsidRDefault="004B3E2B" w:rsidP="004B3E2B">
                    <w:pPr>
                      <w:jc w:val="right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</w:rPr>
                      <w:t xml:space="preserve">COMUNICATO </w:t>
                    </w:r>
                    <w:r w:rsidRPr="009C0B23">
                      <w:rPr>
                        <w:rFonts w:ascii="Tahoma" w:hAnsi="Tahoma"/>
                        <w:b/>
                      </w:rPr>
                      <w:t>STAMPA</w:t>
                    </w:r>
                  </w:p>
                  <w:p w14:paraId="7F207C6F" w14:textId="619E9566" w:rsidR="004B3E2B" w:rsidRDefault="004B3E2B" w:rsidP="004B3E2B">
                    <w:pPr>
                      <w:jc w:val="right"/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26/</w:t>
                    </w:r>
                    <w:r w:rsidRPr="002D3BDF">
                      <w:rPr>
                        <w:rFonts w:ascii="Tahoma" w:hAnsi="Tahoma" w:cs="Tahoma"/>
                        <w:b/>
                        <w:bCs/>
                      </w:rPr>
                      <w:t>0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3</w:t>
                    </w:r>
                    <w:r w:rsidRPr="002D3BDF">
                      <w:rPr>
                        <w:rFonts w:ascii="Tahoma" w:hAnsi="Tahoma" w:cs="Tahoma"/>
                        <w:b/>
                        <w:bCs/>
                      </w:rPr>
                      <w:t>/202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F049F">
      <w:rPr>
        <w:rFonts w:ascii="Tahoma" w:hAnsi="Tahoma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ECE051" wp14:editId="64667038">
              <wp:simplePos x="0" y="0"/>
              <wp:positionH relativeFrom="margin">
                <wp:align>left</wp:align>
              </wp:positionH>
              <wp:positionV relativeFrom="paragraph">
                <wp:posOffset>30480</wp:posOffset>
              </wp:positionV>
              <wp:extent cx="2400300" cy="86614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577AB" w14:textId="77777777" w:rsidR="004B3E2B" w:rsidRDefault="004B3E2B" w:rsidP="004B3E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27791" wp14:editId="7DC1C5D9">
                                <wp:extent cx="1922022" cy="820420"/>
                                <wp:effectExtent l="0" t="0" r="2540" b="0"/>
                                <wp:docPr id="213995555" name="Immagine 213995555" descr="Immagine che contiene testo, Carattere, logo, Elementi grafici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Tavola disegno 1 copia 3-10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2022" cy="820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E051" id="_x0000_s1027" type="#_x0000_t202" style="position:absolute;margin-left:0;margin-top:2.4pt;width:189pt;height:6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" stroked="f">
              <v:textbox>
                <w:txbxContent>
                  <w:p w14:paraId="2BF577AB" w14:textId="77777777" w:rsidR="004B3E2B" w:rsidRDefault="004B3E2B" w:rsidP="004B3E2B">
                    <w:r>
                      <w:rPr>
                        <w:noProof/>
                      </w:rPr>
                      <w:drawing>
                        <wp:inline distT="0" distB="0" distL="0" distR="0" wp14:anchorId="33527791" wp14:editId="7DC1C5D9">
                          <wp:extent cx="1922022" cy="820420"/>
                          <wp:effectExtent l="0" t="0" r="2540" b="0"/>
                          <wp:docPr id="213995555" name="Immagine 213995555" descr="Immagine che contiene testo, Carattere, logo, Elementi grafici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Tavola disegno 1 copia 3-10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2022" cy="820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2A80BEC" w14:textId="77777777" w:rsidR="004B3E2B" w:rsidRDefault="004B3E2B" w:rsidP="004B3E2B">
    <w:pPr>
      <w:pStyle w:val="Intestazione"/>
      <w:rPr>
        <w:rFonts w:ascii="Tahoma" w:hAnsi="Tahoma"/>
        <w:b/>
      </w:rPr>
    </w:pPr>
  </w:p>
  <w:p w14:paraId="03DDFB75" w14:textId="77777777" w:rsidR="004B3E2B" w:rsidRDefault="004B3E2B" w:rsidP="004B3E2B">
    <w:pPr>
      <w:pStyle w:val="Intestazione"/>
      <w:rPr>
        <w:rFonts w:ascii="Tahoma" w:hAnsi="Tahoma"/>
        <w:b/>
      </w:rPr>
    </w:pPr>
  </w:p>
  <w:p w14:paraId="76047D1D" w14:textId="77777777" w:rsidR="004B3E2B" w:rsidRPr="009C0B23" w:rsidRDefault="004B3E2B" w:rsidP="004B3E2B">
    <w:pPr>
      <w:pStyle w:val="Intestazione"/>
      <w:rPr>
        <w:rFonts w:ascii="Tahoma" w:hAnsi="Tahoma"/>
        <w:b/>
      </w:rPr>
    </w:pPr>
  </w:p>
  <w:p w14:paraId="2540A88E" w14:textId="77777777" w:rsidR="004B3E2B" w:rsidRPr="007730A4" w:rsidRDefault="004B3E2B" w:rsidP="004B3E2B">
    <w:pPr>
      <w:pStyle w:val="Intestazione"/>
      <w:rPr>
        <w:rFonts w:ascii="Tahoma" w:hAnsi="Tahoma" w:cs="Tahoma"/>
        <w:b/>
        <w:bCs/>
      </w:rPr>
    </w:pPr>
    <w:r>
      <w:tab/>
      <w:t xml:space="preserve">                                                                                                       </w:t>
    </w:r>
  </w:p>
  <w:p w14:paraId="37D70B6D" w14:textId="77777777" w:rsidR="004B3E2B" w:rsidRDefault="004B3E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5C"/>
    <w:rsid w:val="00034CC7"/>
    <w:rsid w:val="000911C5"/>
    <w:rsid w:val="000A2F87"/>
    <w:rsid w:val="000D46BB"/>
    <w:rsid w:val="00107C8E"/>
    <w:rsid w:val="0016530E"/>
    <w:rsid w:val="00195159"/>
    <w:rsid w:val="001C2642"/>
    <w:rsid w:val="001D466F"/>
    <w:rsid w:val="001E72D0"/>
    <w:rsid w:val="0029598A"/>
    <w:rsid w:val="002B3048"/>
    <w:rsid w:val="002C41F7"/>
    <w:rsid w:val="002F6B42"/>
    <w:rsid w:val="00352A09"/>
    <w:rsid w:val="00385BDB"/>
    <w:rsid w:val="003F5963"/>
    <w:rsid w:val="004B3E2B"/>
    <w:rsid w:val="004E5889"/>
    <w:rsid w:val="004F0BA7"/>
    <w:rsid w:val="005330F4"/>
    <w:rsid w:val="005655E2"/>
    <w:rsid w:val="00576300"/>
    <w:rsid w:val="00590B4A"/>
    <w:rsid w:val="0059254E"/>
    <w:rsid w:val="00593E52"/>
    <w:rsid w:val="005A29E7"/>
    <w:rsid w:val="005D4092"/>
    <w:rsid w:val="006A20B9"/>
    <w:rsid w:val="006B7466"/>
    <w:rsid w:val="0071542C"/>
    <w:rsid w:val="00761B8B"/>
    <w:rsid w:val="00774A25"/>
    <w:rsid w:val="00783C50"/>
    <w:rsid w:val="007D7E2C"/>
    <w:rsid w:val="007F1037"/>
    <w:rsid w:val="00815A9D"/>
    <w:rsid w:val="00850144"/>
    <w:rsid w:val="00854F5F"/>
    <w:rsid w:val="008574EE"/>
    <w:rsid w:val="00863E94"/>
    <w:rsid w:val="008B6270"/>
    <w:rsid w:val="00901B5C"/>
    <w:rsid w:val="00940696"/>
    <w:rsid w:val="009A3289"/>
    <w:rsid w:val="009E4D84"/>
    <w:rsid w:val="00A23EA1"/>
    <w:rsid w:val="00A47E6A"/>
    <w:rsid w:val="00A85A76"/>
    <w:rsid w:val="00AA226E"/>
    <w:rsid w:val="00AF0C58"/>
    <w:rsid w:val="00B21691"/>
    <w:rsid w:val="00B40DA4"/>
    <w:rsid w:val="00B47346"/>
    <w:rsid w:val="00B77D52"/>
    <w:rsid w:val="00C77C67"/>
    <w:rsid w:val="00CA018A"/>
    <w:rsid w:val="00CB7FEC"/>
    <w:rsid w:val="00CF0167"/>
    <w:rsid w:val="00D21980"/>
    <w:rsid w:val="00D50E17"/>
    <w:rsid w:val="00D60BC2"/>
    <w:rsid w:val="00DE5037"/>
    <w:rsid w:val="00E1516A"/>
    <w:rsid w:val="00EA3346"/>
    <w:rsid w:val="00EC50B2"/>
    <w:rsid w:val="00EE47B1"/>
    <w:rsid w:val="00EE7D50"/>
    <w:rsid w:val="00F27A19"/>
    <w:rsid w:val="00F37FB4"/>
    <w:rsid w:val="00FB0FA1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7DF1C"/>
  <w15:chartTrackingRefBased/>
  <w15:docId w15:val="{A360F718-CE86-4665-874D-F585E98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6B7466"/>
  </w:style>
  <w:style w:type="character" w:styleId="Enfasigrassetto">
    <w:name w:val="Strong"/>
    <w:basedOn w:val="Carpredefinitoparagrafo"/>
    <w:uiPriority w:val="22"/>
    <w:qFormat/>
    <w:rsid w:val="006B7466"/>
    <w:rPr>
      <w:b/>
      <w:bCs/>
    </w:rPr>
  </w:style>
  <w:style w:type="character" w:styleId="Enfasicorsivo">
    <w:name w:val="Emphasis"/>
    <w:basedOn w:val="Carpredefinitoparagrafo"/>
    <w:uiPriority w:val="20"/>
    <w:qFormat/>
    <w:rsid w:val="00CA018A"/>
    <w:rPr>
      <w:i/>
      <w:iCs/>
    </w:rPr>
  </w:style>
  <w:style w:type="paragraph" w:styleId="Revisione">
    <w:name w:val="Revision"/>
    <w:hidden/>
    <w:uiPriority w:val="99"/>
    <w:semiHidden/>
    <w:rsid w:val="00FB7A4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B3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2B"/>
  </w:style>
  <w:style w:type="paragraph" w:styleId="Pidipagina">
    <w:name w:val="footer"/>
    <w:basedOn w:val="Normale"/>
    <w:link w:val="PidipaginaCarattere"/>
    <w:uiPriority w:val="99"/>
    <w:unhideWhenUsed/>
    <w:rsid w:val="004B3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CPL Concordia Soc. Coop.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Penzo Samuele</dc:creator>
  <cp:keywords/>
  <dc:description/>
  <cp:lastModifiedBy>Penzo Samuele</cp:lastModifiedBy>
  <cp:revision>3</cp:revision>
  <dcterms:created xsi:type="dcterms:W3CDTF">2024-03-24T10:35:00Z</dcterms:created>
  <dcterms:modified xsi:type="dcterms:W3CDTF">2024-03-24T10:35:00Z</dcterms:modified>
</cp:coreProperties>
</file>